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1760.xml.htm"/>
      <w:bookmarkStart w:id="1" w:name="kswkform4_17897617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Scalzo Richard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CRESCENT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FIFTH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CRESCENT BIOPHARMA, INC.</w:t>
              </w:r>
            </w:hyperlink>
            <w:r>
              <w:rPr/>
              <w:t xml:space="preserve"> [ </w:t>
            </w:r>
            <w:r>
              <w:rPr>
                <w:rFonts w:ascii="Times;serif" w:hAnsi="Times;serif"/>
                <w:color w:val="0000FF"/>
                <w:sz w:val="24"/>
                <w:shd w:fill="FFFFFF" w:val="clear"/>
              </w:rPr>
              <w:t>CBIO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3"/>
        <w:gridCol w:w="902"/>
        <w:gridCol w:w="771"/>
        <w:gridCol w:w="599"/>
        <w:gridCol w:w="352"/>
        <w:gridCol w:w="817"/>
        <w:gridCol w:w="465"/>
        <w:gridCol w:w="718"/>
        <w:gridCol w:w="1180"/>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568</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w:t>
            </w:r>
            <w:r>
              <w:rPr>
                <w:rFonts w:ascii="Times;serif" w:hAnsi="Times;serif"/>
                <w:color w:val="008000"/>
                <w:position w:val="7"/>
                <w:sz w:val="16"/>
                <w:sz w:val="20"/>
                <w:shd w:fill="FFFFFF" w:val="clear"/>
              </w:rPr>
              <w:t>(2)</w:t>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19,730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settlement of restricted stock units granted to the Reporting Person on December 15, 2025. The sales reported in this Form 4 were effected pursuant to a Rule 10b5-1 instruction adopted by the Reporting Person on February 25, 2026, solely with the intent to cover taxes in connection with the vesting of the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$17.10 to $19.17,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Barbara Bispham Hale, as attorney-in-fact for Richard William Scalzo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9545" TargetMode="External"/><Relationship Id="rId5" Type="http://schemas.openxmlformats.org/officeDocument/2006/relationships/hyperlink" Target="http://www.sec.gov/cgi-bin/browse-edgar?action=getcompany&amp;CIK=00012536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717</Words>
  <Characters>3900</Characters>
  <CharactersWithSpaces>4547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