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722.xml.htm"/>
      <w:bookmarkStart w:id="1" w:name="kswkform4_17897617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Brumm Joshua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CRESCENT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CRESCENT BIOPHARMA, INC.</w:t>
              </w:r>
            </w:hyperlink>
            <w:r>
              <w:rPr/>
              <w:t xml:space="preserve"> [ </w:t>
            </w:r>
            <w:r>
              <w:rPr>
                <w:rFonts w:ascii="Times;serif" w:hAnsi="Times;serif"/>
                <w:color w:val="0000FF"/>
                <w:sz w:val="24"/>
                <w:shd w:fill="FFFFFF" w:val="clear"/>
              </w:rPr>
              <w:t>CBIO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89"/>
        <w:gridCol w:w="454"/>
        <w:gridCol w:w="798"/>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1,610</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279,602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7,837</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16.71</w:t>
            </w:r>
            <w:r>
              <w:rPr>
                <w:rFonts w:ascii="Times;serif" w:hAnsi="Times;serif"/>
                <w:color w:val="008000"/>
                <w:position w:val="7"/>
                <w:sz w:val="16"/>
                <w:sz w:val="20"/>
                <w:shd w:fill="FFFFFF" w:val="clear"/>
              </w:rPr>
              <w:t>(2)</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271,765</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settlement of restricted stock units granted to the Reporting Person on December 15, 2025 and March 17, 2025. The sales reported in this Form 4 were effected pursuant to a Rule 10b5-1 instruction adopted by the reporting person on February 28, 2026,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prices reported in Column 4 are weighted average prices. These shares were sold in multiple transactions at prices ranging from $17.10 to $19.17 on September 16, 2026 and from $16.15 to $17.23 on September 18, 2026,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Barbara Bispham Hale, as attorney-in-fact for Joshua T. Brumm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SECTION 16 AND FORM 144</w:t>
        <w:br/>
        <w:t>POWER OF ATTORNEY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With respect to holdings of and transactions in securities issued by Crescent Biopharma,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xml:space="preserve">), the undersigned hereby constitutes and appoints the individuals named on </w:t>
      </w:r>
      <w:r>
        <w:rPr>
          <w:rFonts w:ascii="Times New Roman;serif" w:hAnsi="Times New Roman;serif"/>
          <w:b/>
          <w:color w:val="000000"/>
          <w:sz w:val="22"/>
          <w:u w:val="single"/>
        </w:rPr>
        <w:t>Schedule A</w:t>
      </w:r>
      <w:r>
        <w:rPr>
          <w:color w:val="000000"/>
        </w:rPr>
        <w:t xml:space="preserve"> </w:t>
      </w:r>
      <w:r>
        <w:rPr>
          <w:rFonts w:ascii="Times New Roman;serif" w:hAnsi="Times New Roman;serif"/>
          <w:b w:val="false"/>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2"/>
        </w:rPr>
        <w:t>1.execute for and on behalf of the undersigned, Schedules 13D and 13G in accordance with Section 13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serif" w:hAnsi="Times New Roman;serif"/>
          <w:b/>
          <w:i/>
          <w:color w:val="000000"/>
          <w:sz w:val="22"/>
        </w:rPr>
        <w:t>Form 144”</w:t>
      </w:r>
      <w:r>
        <w:rPr>
          <w:rFonts w:ascii="Times New Roman;serif" w:hAnsi="Times New Roman;serif"/>
          <w:b w:val="false"/>
          <w:color w:val="000000"/>
          <w:sz w:val="22"/>
        </w:rPr>
        <w:t>), in accordance with the requirements of Rule 144 under the Securities Act of 1933, as amended (the “</w:t>
      </w:r>
      <w:r>
        <w:rPr>
          <w:rFonts w:ascii="Times New Roman;serif" w:hAnsi="Times New Roman;serif"/>
          <w:b/>
          <w:i/>
          <w:color w:val="000000"/>
          <w:sz w:val="22"/>
        </w:rPr>
        <w:t>Securities Act</w:t>
      </w:r>
      <w:r>
        <w:rPr>
          <w:color w:val="000000"/>
        </w:rPr>
        <w:t>”</w:t>
      </w:r>
      <w:r>
        <w:rPr>
          <w:rFonts w:ascii="Times New Roman;serif" w:hAnsi="Times New Roman;serif"/>
          <w:b w:val="false"/>
          <w:color w:val="000000"/>
          <w:sz w:val="22"/>
        </w:rPr>
        <w:t>);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IN WITNESS WHEREOF, the undersigned has caused this Power of Attorney to be executed as of this 16th day of September,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Joshua T. Brumm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Joshua T. Brumm</w:t>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60705"/>
                <wp:effectExtent l="0" t="0" r="0" b="0"/>
                <wp:wrapNone/>
                <wp:docPr id="6" name="Frame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INDIVIDUALS APPOINTED AS ATTORNEY-IN-FACT,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WITH FULL POWER OF SUBSTITUTION AND RESUBSTITUTION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    Barbara Bispham Hale, General Counsel and Corporate Secretary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    Richard Scalzo, Chief Financial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3.    Ryan Lynch, Treasurer, Senior Vice President of Finance and Chief Accounting Officer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60705"/>
                <wp:effectExtent l="0" t="0" r="0" b="0"/>
                <wp:wrapNone/>
                <wp:docPr id="7" name="Frame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28826" TargetMode="External"/><Relationship Id="rId5" Type="http://schemas.openxmlformats.org/officeDocument/2006/relationships/hyperlink" Target="http://www.sec.gov/cgi-bin/browse-edgar?action=getcompany&amp;CIK=0001253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1279</Words>
  <Characters>6771</Characters>
  <CharactersWithSpaces>7992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