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1740.xml.htm"/>
      <w:bookmarkStart w:id="1" w:name="kswkform4_178976174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Bispham Barbara Harlin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CRESCENT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FIFTH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CRESCENT BIOPHARMA, INC.</w:t>
              </w:r>
            </w:hyperlink>
            <w:r>
              <w:rPr/>
              <w:t xml:space="preserve"> [ </w:t>
            </w:r>
            <w:r>
              <w:rPr>
                <w:rFonts w:ascii="Times;serif" w:hAnsi="Times;serif"/>
                <w:color w:val="0000FF"/>
                <w:sz w:val="24"/>
                <w:shd w:fill="FFFFFF" w:val="clear"/>
              </w:rPr>
              <w:t>CBIO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3"/>
        <w:gridCol w:w="902"/>
        <w:gridCol w:w="771"/>
        <w:gridCol w:w="599"/>
        <w:gridCol w:w="352"/>
        <w:gridCol w:w="817"/>
        <w:gridCol w:w="465"/>
        <w:gridCol w:w="718"/>
        <w:gridCol w:w="1180"/>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620</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w:t>
            </w:r>
            <w:r>
              <w:rPr>
                <w:rFonts w:ascii="Times;serif" w:hAnsi="Times;serif"/>
                <w:color w:val="008000"/>
                <w:position w:val="7"/>
                <w:sz w:val="16"/>
                <w:sz w:val="20"/>
                <w:shd w:fill="FFFFFF" w:val="clear"/>
              </w:rPr>
              <w:t>(2)</w:t>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18,710</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Reporting Person to satisfy tax withholding obligations in connection with the settlement of restricted stock units granted to the Reporting Person on December 15, 2025. The sales reported in this Form 4 were effected pursuant to a Rule 10b5-1 instruction adopted by the Reporting Person on February 25, 2026, solely with the intent to cover taxes in connection with the vesting of the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$17.10 to $19.17,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General Counsel and Corporate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Barbara Bispham Hale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5230" TargetMode="External"/><Relationship Id="rId5" Type="http://schemas.openxmlformats.org/officeDocument/2006/relationships/hyperlink" Target="http://www.sec.gov/cgi-bin/browse-edgar?action=getcompany&amp;CIK=00012536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715</Words>
  <Characters>3883</Characters>
  <CharactersWithSpaces>4527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