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1811.xml.htm"/>
      <w:bookmarkStart w:id="1" w:name="kswkform4_17897618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Lynch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CRESCENT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FIFTH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CRESCENT BIOPHARMA, INC.</w:t>
              </w:r>
            </w:hyperlink>
            <w:r>
              <w:rPr/>
              <w:t xml:space="preserve"> [ </w:t>
            </w:r>
            <w:r>
              <w:rPr>
                <w:rFonts w:ascii="Times;serif" w:hAnsi="Times;serif"/>
                <w:color w:val="0000FF"/>
                <w:sz w:val="24"/>
                <w:shd w:fill="FFFFFF" w:val="clear"/>
              </w:rPr>
              <w:t>CBIO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3"/>
        <w:gridCol w:w="902"/>
        <w:gridCol w:w="771"/>
        <w:gridCol w:w="599"/>
        <w:gridCol w:w="352"/>
        <w:gridCol w:w="817"/>
        <w:gridCol w:w="465"/>
        <w:gridCol w:w="718"/>
        <w:gridCol w:w="1180"/>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w:t>
            </w:r>
            <w:r>
              <w:rPr>
                <w:rFonts w:ascii="Times;serif" w:hAnsi="Times;serif"/>
                <w:color w:val="008000"/>
                <w:position w:val="7"/>
                <w:sz w:val="16"/>
                <w:sz w:val="20"/>
                <w:shd w:fill="FFFFFF" w:val="clear"/>
              </w:rPr>
              <w:t>(2)</w:t>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13,631</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Reporting Person to satisfy tax withholding obligations in connection with the settlement of restricted stock units granted to the Reporting Person on December 15, 2025. The sales reported in this Form 4 were effected pursuant to a Rule 10b5-1 instruction adopted by the Reporting Person on February 25, 2026, solely with the intent to cover taxes in connection with the vesting of the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$17.10 to $19.17,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Treasurer, Senior Vice President of Finance and Chief Accounting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Barbara Bispham Hale, as attorney-in-fact for Ryan Lynch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9271" TargetMode="External"/><Relationship Id="rId5" Type="http://schemas.openxmlformats.org/officeDocument/2006/relationships/hyperlink" Target="http://www.sec.gov/cgi-bin/browse-edgar?action=getcompany&amp;CIK=00012536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724</Words>
  <Characters>3931</Characters>
  <CharactersWithSpaces>4584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